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4C6AEC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DPP </w:t>
      </w:r>
      <w:r w:rsidR="00BC2457">
        <w:rPr>
          <w:b/>
          <w:sz w:val="40"/>
          <w:szCs w:val="40"/>
          <w:u w:val="thick"/>
        </w:rPr>
        <w:t>Pre-Sentencing Documents</w:t>
      </w:r>
      <w:r>
        <w:rPr>
          <w:b/>
          <w:sz w:val="40"/>
          <w:szCs w:val="40"/>
          <w:u w:val="thick"/>
        </w:rPr>
        <w:t xml:space="preserve"> List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8F2C4B" w:rsidRDefault="00BC2457" w:rsidP="008F2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6AEC" w:rsidRPr="004C6AEC">
        <w:rPr>
          <w:rFonts w:ascii="Times New Roman" w:hAnsi="Times New Roman" w:cs="Times New Roman"/>
          <w:b/>
          <w:sz w:val="24"/>
          <w:szCs w:val="24"/>
        </w:rPr>
        <w:t>ll documents are to be kept unt</w:t>
      </w:r>
      <w:r w:rsidR="004C6AEC">
        <w:rPr>
          <w:rFonts w:ascii="Times New Roman" w:hAnsi="Times New Roman" w:cs="Times New Roman"/>
          <w:b/>
          <w:sz w:val="24"/>
          <w:szCs w:val="24"/>
        </w:rPr>
        <w:t xml:space="preserve">il the sentencing is complete. </w:t>
      </w:r>
      <w:r w:rsidR="004C6AEC" w:rsidRPr="004C6AEC">
        <w:rPr>
          <w:rFonts w:ascii="Times New Roman" w:hAnsi="Times New Roman" w:cs="Times New Roman"/>
          <w:b/>
          <w:sz w:val="24"/>
          <w:szCs w:val="24"/>
        </w:rPr>
        <w:t>At that time, the following documents may be purged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files</w:t>
      </w:r>
      <w:r w:rsidR="004C6AEC" w:rsidRPr="004C6AEC">
        <w:rPr>
          <w:rFonts w:ascii="Times New Roman" w:hAnsi="Times New Roman" w:cs="Times New Roman"/>
          <w:b/>
          <w:sz w:val="24"/>
          <w:szCs w:val="24"/>
        </w:rPr>
        <w:t>: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Crime scene pictures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Autopsy reports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Lab reports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Victim medical reports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Lists of seized evidence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Bail release information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Change of attorneys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 xml:space="preserve">General legal </w:t>
      </w:r>
      <w:r>
        <w:rPr>
          <w:rFonts w:ascii="Times New Roman" w:hAnsi="Times New Roman"/>
          <w:sz w:val="24"/>
          <w:szCs w:val="24"/>
        </w:rPr>
        <w:t>arguments between the attorneys.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Federal PSR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Juvenile reports and documentation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 of state judgments and </w:t>
      </w:r>
      <w:r w:rsidRPr="004C6AEC">
        <w:rPr>
          <w:rFonts w:ascii="Times New Roman" w:hAnsi="Times New Roman"/>
          <w:sz w:val="24"/>
          <w:szCs w:val="24"/>
        </w:rPr>
        <w:t>police reports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Notes taken during interviews and research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Duplicate chronological entries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Buck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AEC">
        <w:rPr>
          <w:rFonts w:ascii="Times New Roman" w:hAnsi="Times New Roman"/>
          <w:sz w:val="24"/>
          <w:szCs w:val="24"/>
        </w:rPr>
        <w:t>slips or electronic receipts of the file being received by all legal parties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OMIS / Juvenile history print outs.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Restitution receipts</w:t>
      </w:r>
      <w:r>
        <w:rPr>
          <w:rFonts w:ascii="Times New Roman" w:hAnsi="Times New Roman"/>
          <w:sz w:val="24"/>
          <w:szCs w:val="24"/>
        </w:rPr>
        <w:t>.</w:t>
      </w:r>
    </w:p>
    <w:p w:rsidR="004C6AEC" w:rsidRP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C6AEC">
        <w:rPr>
          <w:rFonts w:ascii="Times New Roman" w:hAnsi="Times New Roman"/>
          <w:sz w:val="24"/>
          <w:szCs w:val="24"/>
        </w:rPr>
        <w:t>Child support information</w:t>
      </w:r>
      <w:r>
        <w:rPr>
          <w:rFonts w:ascii="Times New Roman" w:hAnsi="Times New Roman"/>
          <w:sz w:val="24"/>
          <w:szCs w:val="24"/>
        </w:rPr>
        <w:t>.</w:t>
      </w:r>
    </w:p>
    <w:p w:rsidR="004C6AEC" w:rsidRDefault="004C6AEC" w:rsidP="004C6AE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6AEC">
        <w:rPr>
          <w:rFonts w:ascii="Times New Roman" w:hAnsi="Times New Roman"/>
          <w:sz w:val="24"/>
          <w:szCs w:val="24"/>
        </w:rPr>
        <w:t xml:space="preserve">Any other information that was gathered during the investigation process and noted within the </w:t>
      </w:r>
      <w:r w:rsidR="00BC2457">
        <w:rPr>
          <w:rFonts w:ascii="Times New Roman" w:hAnsi="Times New Roman"/>
          <w:sz w:val="24"/>
          <w:szCs w:val="24"/>
        </w:rPr>
        <w:tab/>
      </w:r>
      <w:r w:rsidRPr="004C6AEC">
        <w:rPr>
          <w:rFonts w:ascii="Times New Roman" w:hAnsi="Times New Roman"/>
          <w:sz w:val="24"/>
          <w:szCs w:val="24"/>
        </w:rPr>
        <w:t>presentence report.</w:t>
      </w:r>
    </w:p>
    <w:p w:rsidR="004C6AEC" w:rsidRDefault="004C6AEC" w:rsidP="004C6AE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C6AEC" w:rsidRPr="004C6AEC" w:rsidRDefault="004C6AEC" w:rsidP="004C6AE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4C6AEC">
        <w:rPr>
          <w:rFonts w:ascii="Times New Roman" w:hAnsi="Times New Roman"/>
          <w:b/>
          <w:sz w:val="24"/>
          <w:szCs w:val="24"/>
        </w:rPr>
        <w:t xml:space="preserve">All other documents, including APSIN printouts, police reports (minus the information noted above), PSR </w:t>
      </w:r>
      <w:r w:rsidRPr="00BC2457">
        <w:rPr>
          <w:rFonts w:ascii="Times New Roman" w:hAnsi="Times New Roman"/>
          <w:b/>
          <w:sz w:val="24"/>
          <w:szCs w:val="24"/>
        </w:rPr>
        <w:t>worksheets, charging documents, PSR</w:t>
      </w:r>
      <w:r w:rsidRPr="004C6AEC">
        <w:rPr>
          <w:rFonts w:ascii="Times New Roman" w:hAnsi="Times New Roman"/>
          <w:b/>
          <w:sz w:val="24"/>
          <w:szCs w:val="24"/>
        </w:rPr>
        <w:t xml:space="preserve">, victim letter, current chronological entries and the LSIR must be placed in to the offender’s case record for </w:t>
      </w:r>
      <w:r w:rsidR="00BC2457">
        <w:rPr>
          <w:rFonts w:ascii="Times New Roman" w:hAnsi="Times New Roman"/>
          <w:b/>
          <w:sz w:val="24"/>
          <w:szCs w:val="24"/>
        </w:rPr>
        <w:t xml:space="preserve">permanent </w:t>
      </w:r>
      <w:r w:rsidRPr="004C6AEC">
        <w:rPr>
          <w:rFonts w:ascii="Times New Roman" w:hAnsi="Times New Roman"/>
          <w:b/>
          <w:sz w:val="24"/>
          <w:szCs w:val="24"/>
        </w:rPr>
        <w:t>retention.</w:t>
      </w:r>
    </w:p>
    <w:p w:rsidR="004C6AEC" w:rsidRPr="004C6AEC" w:rsidRDefault="004C6AEC" w:rsidP="008F2C4B">
      <w:pPr>
        <w:rPr>
          <w:rFonts w:ascii="Times New Roman" w:hAnsi="Times New Roman" w:cs="Times New Roman"/>
          <w:b/>
          <w:sz w:val="24"/>
          <w:szCs w:val="24"/>
        </w:rPr>
      </w:pPr>
    </w:p>
    <w:sectPr w:rsidR="004C6AEC" w:rsidRPr="004C6AEC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4C6AEC">
      <w:t>603</w:t>
    </w:r>
    <w:r>
      <w:t>.0</w:t>
    </w:r>
    <w:r w:rsidR="004C6AEC">
      <w:t>1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1C391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1C391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1C3914">
      <w:t>Rev: 12/27</w:t>
    </w:r>
    <w:r w:rsidR="004C6AEC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2EC4"/>
    <w:multiLevelType w:val="hybridMultilevel"/>
    <w:tmpl w:val="BFA8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1C3914"/>
    <w:rsid w:val="00297488"/>
    <w:rsid w:val="004C6AEC"/>
    <w:rsid w:val="00532B24"/>
    <w:rsid w:val="008F2C4B"/>
    <w:rsid w:val="0099391E"/>
    <w:rsid w:val="00B055BE"/>
    <w:rsid w:val="00BC2457"/>
    <w:rsid w:val="00BF6FF1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AEC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AEC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2017-12-27T21:20:00Z</cp:lastPrinted>
  <dcterms:created xsi:type="dcterms:W3CDTF">2017-12-27T21:20:00Z</dcterms:created>
  <dcterms:modified xsi:type="dcterms:W3CDTF">2017-12-27T21:20:00Z</dcterms:modified>
</cp:coreProperties>
</file>